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bookmarkStart w:name="UNABARA Z Axis-2F" w:id="1"/>
      <w:bookmarkEnd w:id="1"/>
      <w:r>
        <w:rPr>
          <w:b w:val="0"/>
        </w:rPr>
      </w:r>
      <w:r>
        <w:rPr>
          <w:spacing w:val="-2"/>
        </w:rPr>
        <w:t>UNABARA</w:t>
      </w:r>
      <w:r>
        <w:rPr>
          <w:spacing w:val="-19"/>
        </w:rPr>
        <w:t> </w:t>
      </w:r>
      <w:r>
        <w:rPr>
          <w:spacing w:val="-2"/>
        </w:rPr>
        <w:t>Z</w:t>
      </w:r>
      <w:r>
        <w:rPr>
          <w:spacing w:val="-19"/>
        </w:rPr>
        <w:t> </w:t>
      </w:r>
      <w:r>
        <w:rPr>
          <w:spacing w:val="-2"/>
        </w:rPr>
        <w:t>Axis-</w:t>
      </w:r>
      <w:r>
        <w:rPr>
          <w:spacing w:val="-5"/>
        </w:rPr>
        <w:t>2F</w:t>
      </w:r>
    </w:p>
    <w:p>
      <w:pPr>
        <w:pStyle w:val="Heading2"/>
        <w:spacing w:before="325"/>
      </w:pPr>
      <w:bookmarkStart w:name="Dual-Frequency Single-Beam Echo Sounder" w:id="2"/>
      <w:bookmarkEnd w:id="2"/>
      <w:r>
        <w:rPr>
          <w:b w:val="0"/>
        </w:rPr>
      </w:r>
      <w:r>
        <w:rPr/>
        <w:t>Dual-Frequency</w:t>
      </w:r>
      <w:r>
        <w:rPr>
          <w:spacing w:val="-7"/>
        </w:rPr>
        <w:t> </w:t>
      </w:r>
      <w:r>
        <w:rPr/>
        <w:t>Single-Beam</w:t>
      </w:r>
      <w:r>
        <w:rPr>
          <w:spacing w:val="-4"/>
        </w:rPr>
        <w:t> </w:t>
      </w:r>
      <w:r>
        <w:rPr/>
        <w:t>Echo</w:t>
      </w:r>
      <w:r>
        <w:rPr>
          <w:spacing w:val="-4"/>
        </w:rPr>
        <w:t> </w:t>
      </w:r>
      <w:r>
        <w:rPr>
          <w:spacing w:val="-2"/>
        </w:rPr>
        <w:t>Sounder</w:t>
      </w:r>
    </w:p>
    <w:p>
      <w:pPr>
        <w:pStyle w:val="Heading3"/>
        <w:spacing w:before="264"/>
      </w:pPr>
      <w:bookmarkStart w:name="Overview" w:id="3"/>
      <w:bookmarkEnd w:id="3"/>
      <w:r>
        <w:rPr>
          <w:b w:val="0"/>
        </w:rPr>
      </w:r>
      <w:r>
        <w:rPr>
          <w:spacing w:val="-2"/>
        </w:rPr>
        <w:t>Overview</w:t>
      </w:r>
    </w:p>
    <w:p>
      <w:pPr>
        <w:pStyle w:val="BodyText"/>
        <w:spacing w:line="276" w:lineRule="auto" w:before="121"/>
        <w:ind w:left="143" w:firstLine="0"/>
      </w:pPr>
      <w:r>
        <w:rPr/>
        <w:t>The</w:t>
      </w:r>
      <w:r>
        <w:rPr>
          <w:spacing w:val="-2"/>
        </w:rPr>
        <w:t> </w:t>
      </w:r>
      <w:r>
        <w:rPr/>
        <w:t>Unabara</w:t>
      </w:r>
      <w:r>
        <w:rPr>
          <w:spacing w:val="-3"/>
        </w:rPr>
        <w:t> </w:t>
      </w:r>
      <w:r>
        <w:rPr/>
        <w:t>Z</w:t>
      </w:r>
      <w:r>
        <w:rPr>
          <w:spacing w:val="-15"/>
        </w:rPr>
        <w:t> </w:t>
      </w:r>
      <w:r>
        <w:rPr/>
        <w:t>Axis-2F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compact</w:t>
      </w:r>
      <w:r>
        <w:rPr>
          <w:spacing w:val="-2"/>
        </w:rPr>
        <w:t> </w:t>
      </w:r>
      <w:r>
        <w:rPr/>
        <w:t>dual-frequency</w:t>
      </w:r>
      <w:r>
        <w:rPr>
          <w:spacing w:val="-2"/>
        </w:rPr>
        <w:t> </w:t>
      </w:r>
      <w:r>
        <w:rPr/>
        <w:t>echo</w:t>
      </w:r>
      <w:r>
        <w:rPr>
          <w:spacing w:val="-2"/>
        </w:rPr>
        <w:t> </w:t>
      </w:r>
      <w:r>
        <w:rPr/>
        <w:t>sounder</w:t>
      </w:r>
      <w:r>
        <w:rPr>
          <w:spacing w:val="-2"/>
        </w:rPr>
        <w:t> </w:t>
      </w:r>
      <w:r>
        <w:rPr/>
        <w:t>designed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hydrographic surveying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shallow-water</w:t>
      </w:r>
      <w:r>
        <w:rPr>
          <w:spacing w:val="-4"/>
        </w:rPr>
        <w:t> </w:t>
      </w:r>
      <w:r>
        <w:rPr/>
        <w:t>bathymetric</w:t>
      </w:r>
      <w:r>
        <w:rPr>
          <w:spacing w:val="-5"/>
        </w:rPr>
        <w:t> </w:t>
      </w:r>
      <w:r>
        <w:rPr/>
        <w:t>applications.</w:t>
      </w:r>
      <w:r>
        <w:rPr>
          <w:spacing w:val="-9"/>
        </w:rPr>
        <w:t> </w:t>
      </w:r>
      <w:r>
        <w:rPr/>
        <w:t>The</w:t>
      </w:r>
      <w:r>
        <w:rPr>
          <w:spacing w:val="-4"/>
        </w:rPr>
        <w:t> </w:t>
      </w:r>
      <w:r>
        <w:rPr/>
        <w:t>system</w:t>
      </w:r>
      <w:r>
        <w:rPr>
          <w:spacing w:val="-5"/>
        </w:rPr>
        <w:t> </w:t>
      </w:r>
      <w:r>
        <w:rPr/>
        <w:t>combines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200</w:t>
      </w:r>
      <w:r>
        <w:rPr>
          <w:spacing w:val="-4"/>
        </w:rPr>
        <w:t> </w:t>
      </w:r>
      <w:r>
        <w:rPr/>
        <w:t>kHz</w:t>
      </w:r>
      <w:r>
        <w:rPr>
          <w:spacing w:val="-4"/>
        </w:rPr>
        <w:t> </w:t>
      </w:r>
      <w:r>
        <w:rPr/>
        <w:t>high-frequency channel with a selectable low-frequency channel to provide reliable tracking and bathymetric data.</w:t>
      </w:r>
    </w:p>
    <w:p>
      <w:pPr>
        <w:pStyle w:val="BodyText"/>
        <w:spacing w:before="30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720090</wp:posOffset>
                </wp:positionH>
                <wp:positionV relativeFrom="paragraph">
                  <wp:posOffset>181506</wp:posOffset>
                </wp:positionV>
                <wp:extent cx="6119495" cy="254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119495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 h="2540">
                              <a:moveTo>
                                <a:pt x="6119495" y="2539"/>
                              </a:moveTo>
                              <a:lnTo>
                                <a:pt x="0" y="2539"/>
                              </a:lnTo>
                            </a:path>
                            <a:path w="6119495" h="2540">
                              <a:moveTo>
                                <a:pt x="61194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14.29186pt;width:481.85pt;height:.2pt;mso-position-horizontal-relative:page;mso-position-vertical-relative:paragraph;z-index:-15728640;mso-wrap-distance-left:0;mso-wrap-distance-right:0" id="docshape1" coordorigin="1134,286" coordsize="9637,4" path="m10771,290l1134,290m10771,286l1134,286e" filled="false" stroked="true" strokeweight=".1pt" strokecolor="#7f7f7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91"/>
        <w:ind w:left="0" w:firstLine="0"/>
      </w:pPr>
    </w:p>
    <w:p>
      <w:pPr>
        <w:pStyle w:val="Heading2"/>
      </w:pPr>
      <w:bookmarkStart w:name="Key Specifications" w:id="4"/>
      <w:bookmarkEnd w:id="4"/>
      <w:r>
        <w:rPr>
          <w:b w:val="0"/>
        </w:rPr>
      </w:r>
      <w:r>
        <w:rPr/>
        <w:t>Key</w:t>
      </w:r>
      <w:r>
        <w:rPr>
          <w:spacing w:val="-2"/>
        </w:rPr>
        <w:t> Specifications</w:t>
      </w:r>
    </w:p>
    <w:p>
      <w:pPr>
        <w:pStyle w:val="BodyText"/>
        <w:spacing w:before="9"/>
        <w:ind w:left="0" w:firstLine="0"/>
        <w:rPr>
          <w:b/>
          <w:sz w:val="11"/>
        </w:rPr>
      </w:pPr>
    </w:p>
    <w:tbl>
      <w:tblPr>
        <w:tblW w:w="0" w:type="auto"/>
        <w:jc w:val="left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28"/>
        <w:gridCol w:w="5510"/>
      </w:tblGrid>
      <w:tr>
        <w:trPr>
          <w:trHeight w:val="795" w:hRule="atLeast"/>
        </w:trPr>
        <w:tc>
          <w:tcPr>
            <w:tcW w:w="4128" w:type="dxa"/>
          </w:tcPr>
          <w:p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Parameter</w:t>
            </w:r>
          </w:p>
        </w:tc>
        <w:tc>
          <w:tcPr>
            <w:tcW w:w="5510" w:type="dxa"/>
          </w:tcPr>
          <w:p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Specification</w:t>
            </w:r>
          </w:p>
        </w:tc>
      </w:tr>
      <w:tr>
        <w:trPr>
          <w:trHeight w:val="795" w:hRule="atLeast"/>
        </w:trPr>
        <w:tc>
          <w:tcPr>
            <w:tcW w:w="4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High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Frequency</w:t>
            </w:r>
          </w:p>
        </w:tc>
        <w:tc>
          <w:tcPr>
            <w:tcW w:w="551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200 </w:t>
            </w:r>
            <w:r>
              <w:rPr>
                <w:spacing w:val="-5"/>
                <w:sz w:val="24"/>
              </w:rPr>
              <w:t>kHz</w:t>
            </w:r>
          </w:p>
        </w:tc>
      </w:tr>
      <w:tr>
        <w:trPr>
          <w:trHeight w:val="795" w:hRule="atLeast"/>
        </w:trPr>
        <w:tc>
          <w:tcPr>
            <w:tcW w:w="4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Low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Frequency</w:t>
            </w:r>
          </w:p>
        </w:tc>
        <w:tc>
          <w:tcPr>
            <w:tcW w:w="551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Selectable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10–30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kHz</w:t>
            </w:r>
          </w:p>
        </w:tc>
      </w:tr>
      <w:tr>
        <w:trPr>
          <w:trHeight w:val="795" w:hRule="atLeast"/>
        </w:trPr>
        <w:tc>
          <w:tcPr>
            <w:tcW w:w="4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Depth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Range</w:t>
            </w:r>
          </w:p>
        </w:tc>
        <w:tc>
          <w:tcPr>
            <w:tcW w:w="551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Approximately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0.24–100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sz w:val="24"/>
              </w:rPr>
              <w:t>m</w:t>
            </w:r>
          </w:p>
        </w:tc>
      </w:tr>
      <w:tr>
        <w:trPr>
          <w:trHeight w:val="795" w:hRule="atLeast"/>
        </w:trPr>
        <w:tc>
          <w:tcPr>
            <w:tcW w:w="4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Ping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Rates</w:t>
            </w:r>
          </w:p>
        </w:tc>
        <w:tc>
          <w:tcPr>
            <w:tcW w:w="551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5, 10, or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 </w:t>
            </w:r>
            <w:r>
              <w:rPr>
                <w:spacing w:val="-5"/>
                <w:sz w:val="24"/>
              </w:rPr>
              <w:t>Hz</w:t>
            </w:r>
          </w:p>
        </w:tc>
      </w:tr>
      <w:tr>
        <w:trPr>
          <w:trHeight w:val="795" w:hRule="atLeast"/>
        </w:trPr>
        <w:tc>
          <w:tcPr>
            <w:tcW w:w="4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Beam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Widths</w:t>
            </w:r>
          </w:p>
        </w:tc>
        <w:tc>
          <w:tcPr>
            <w:tcW w:w="551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 </w:t>
            </w:r>
            <w:r>
              <w:rPr>
                <w:spacing w:val="-4"/>
                <w:sz w:val="24"/>
              </w:rPr>
              <w:t>3.5°</w:t>
            </w:r>
          </w:p>
        </w:tc>
      </w:tr>
      <w:tr>
        <w:trPr>
          <w:trHeight w:val="795" w:hRule="atLeast"/>
        </w:trPr>
        <w:tc>
          <w:tcPr>
            <w:tcW w:w="4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Power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Requirements</w:t>
            </w:r>
          </w:p>
        </w:tc>
        <w:tc>
          <w:tcPr>
            <w:tcW w:w="551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VDC</w:t>
            </w:r>
          </w:p>
        </w:tc>
      </w:tr>
      <w:tr>
        <w:trPr>
          <w:trHeight w:val="795" w:hRule="atLeast"/>
        </w:trPr>
        <w:tc>
          <w:tcPr>
            <w:tcW w:w="4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Typical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Power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Consumption</w:t>
            </w:r>
          </w:p>
        </w:tc>
        <w:tc>
          <w:tcPr>
            <w:tcW w:w="551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150 </w:t>
            </w:r>
            <w:r>
              <w:rPr>
                <w:spacing w:val="-5"/>
                <w:sz w:val="24"/>
              </w:rPr>
              <w:t>mA</w:t>
            </w:r>
          </w:p>
        </w:tc>
      </w:tr>
      <w:tr>
        <w:trPr>
          <w:trHeight w:val="795" w:hRule="atLeast"/>
        </w:trPr>
        <w:tc>
          <w:tcPr>
            <w:tcW w:w="4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Interfaces</w:t>
            </w:r>
          </w:p>
        </w:tc>
        <w:tc>
          <w:tcPr>
            <w:tcW w:w="551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USB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RS-</w:t>
            </w:r>
            <w:r>
              <w:rPr>
                <w:spacing w:val="-5"/>
                <w:sz w:val="24"/>
              </w:rPr>
              <w:t>232</w:t>
            </w:r>
          </w:p>
        </w:tc>
      </w:tr>
      <w:tr>
        <w:trPr>
          <w:trHeight w:val="795" w:hRule="atLeast"/>
        </w:trPr>
        <w:tc>
          <w:tcPr>
            <w:tcW w:w="4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> Outputs</w:t>
            </w:r>
          </w:p>
        </w:tc>
        <w:tc>
          <w:tcPr>
            <w:tcW w:w="551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NMEA-XDR,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ODOM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DBT,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DESO-</w:t>
            </w:r>
            <w:r>
              <w:rPr>
                <w:spacing w:val="-5"/>
                <w:sz w:val="24"/>
              </w:rPr>
              <w:t>20</w:t>
            </w:r>
          </w:p>
        </w:tc>
      </w:tr>
    </w:tbl>
    <w:p>
      <w:pPr>
        <w:pStyle w:val="BodyText"/>
        <w:spacing w:before="3"/>
        <w:ind w:left="0" w:firstLine="0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720090</wp:posOffset>
                </wp:positionH>
                <wp:positionV relativeFrom="paragraph">
                  <wp:posOffset>83819</wp:posOffset>
                </wp:positionV>
                <wp:extent cx="6119495" cy="254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119495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 h="2540">
                              <a:moveTo>
                                <a:pt x="6119495" y="2539"/>
                              </a:moveTo>
                              <a:lnTo>
                                <a:pt x="0" y="2539"/>
                              </a:lnTo>
                            </a:path>
                            <a:path w="6119495" h="2540">
                              <a:moveTo>
                                <a:pt x="61194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6.6pt;width:481.85pt;height:.2pt;mso-position-horizontal-relative:page;mso-position-vertical-relative:paragraph;z-index:-15728128;mso-wrap-distance-left:0;mso-wrap-distance-right:0" id="docshape2" coordorigin="1134,132" coordsize="9637,4" path="m10771,136l1134,136m10771,132l1134,132e" filled="false" stroked="true" strokeweight=".1pt" strokecolor="#7f7f7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3"/>
        <w:ind w:left="0" w:firstLine="0"/>
        <w:rPr>
          <w:b/>
          <w:sz w:val="36"/>
        </w:rPr>
      </w:pPr>
    </w:p>
    <w:p>
      <w:pPr>
        <w:pStyle w:val="Heading2"/>
      </w:pPr>
      <w:bookmarkStart w:name="Main Features" w:id="5"/>
      <w:bookmarkEnd w:id="5"/>
      <w:r>
        <w:rPr>
          <w:b w:val="0"/>
        </w:rPr>
      </w:r>
      <w:r>
        <w:rPr/>
        <w:t>Main</w:t>
      </w:r>
      <w:r>
        <w:rPr>
          <w:spacing w:val="-3"/>
        </w:rPr>
        <w:t> </w:t>
      </w:r>
      <w:r>
        <w:rPr>
          <w:spacing w:val="-2"/>
        </w:rPr>
        <w:t>Features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124" w:after="0"/>
        <w:ind w:left="851" w:right="0" w:hanging="282"/>
        <w:jc w:val="left"/>
        <w:rPr>
          <w:sz w:val="24"/>
        </w:rPr>
      </w:pPr>
      <w:r>
        <w:rPr>
          <w:sz w:val="24"/>
        </w:rPr>
        <w:t>Dual-frequency</w:t>
      </w:r>
      <w:r>
        <w:rPr>
          <w:spacing w:val="-7"/>
          <w:sz w:val="24"/>
        </w:rPr>
        <w:t> </w:t>
      </w:r>
      <w:r>
        <w:rPr>
          <w:sz w:val="24"/>
        </w:rPr>
        <w:t>operation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bathymetry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sediment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studies.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z w:val="24"/>
        </w:rPr>
        <w:t>Automatic</w:t>
      </w:r>
      <w:r>
        <w:rPr>
          <w:spacing w:val="-4"/>
          <w:sz w:val="24"/>
        </w:rPr>
        <w:t> </w:t>
      </w:r>
      <w:r>
        <w:rPr>
          <w:sz w:val="24"/>
        </w:rPr>
        <w:t>bottom</w:t>
      </w:r>
      <w:r>
        <w:rPr>
          <w:spacing w:val="-3"/>
          <w:sz w:val="24"/>
        </w:rPr>
        <w:t> </w:t>
      </w:r>
      <w:r>
        <w:rPr>
          <w:sz w:val="24"/>
        </w:rPr>
        <w:t>detection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tracking.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1280" w:bottom="280" w:left="992" w:right="992"/>
        </w:sectPr>
      </w:pP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65" w:after="0"/>
        <w:ind w:left="851" w:right="0" w:hanging="282"/>
        <w:jc w:val="left"/>
        <w:rPr>
          <w:sz w:val="24"/>
        </w:rPr>
      </w:pPr>
      <w:r>
        <w:rPr>
          <w:sz w:val="24"/>
        </w:rPr>
        <w:t>Compact</w:t>
      </w:r>
      <w:r>
        <w:rPr>
          <w:spacing w:val="-4"/>
          <w:sz w:val="24"/>
        </w:rPr>
        <w:t> </w:t>
      </w:r>
      <w:r>
        <w:rPr>
          <w:sz w:val="24"/>
        </w:rPr>
        <w:t>design</w:t>
      </w:r>
      <w:r>
        <w:rPr>
          <w:spacing w:val="-3"/>
          <w:sz w:val="24"/>
        </w:rPr>
        <w:t> </w:t>
      </w:r>
      <w:r>
        <w:rPr>
          <w:sz w:val="24"/>
        </w:rPr>
        <w:t>suitable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portable</w:t>
      </w:r>
      <w:r>
        <w:rPr>
          <w:spacing w:val="-4"/>
          <w:sz w:val="24"/>
        </w:rPr>
        <w:t> </w:t>
      </w:r>
      <w:r>
        <w:rPr>
          <w:sz w:val="24"/>
        </w:rPr>
        <w:t>survey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operations.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z w:val="24"/>
        </w:rPr>
        <w:t>Small</w:t>
      </w:r>
      <w:r>
        <w:rPr>
          <w:spacing w:val="-4"/>
          <w:sz w:val="24"/>
        </w:rPr>
        <w:t> </w:t>
      </w:r>
      <w:r>
        <w:rPr>
          <w:sz w:val="24"/>
        </w:rPr>
        <w:t>acoustic</w:t>
      </w:r>
      <w:r>
        <w:rPr>
          <w:spacing w:val="-4"/>
          <w:sz w:val="24"/>
        </w:rPr>
        <w:t> </w:t>
      </w:r>
      <w:r>
        <w:rPr>
          <w:sz w:val="24"/>
        </w:rPr>
        <w:t>footprint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improved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resolution.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z w:val="24"/>
        </w:rPr>
        <w:t>Compatible</w:t>
      </w:r>
      <w:r>
        <w:rPr>
          <w:spacing w:val="-8"/>
          <w:sz w:val="24"/>
        </w:rPr>
        <w:t> </w:t>
      </w:r>
      <w:r>
        <w:rPr>
          <w:sz w:val="24"/>
        </w:rPr>
        <w:t>with</w:t>
      </w:r>
      <w:r>
        <w:rPr>
          <w:spacing w:val="-4"/>
          <w:sz w:val="24"/>
        </w:rPr>
        <w:t> </w:t>
      </w:r>
      <w:r>
        <w:rPr>
          <w:sz w:val="24"/>
        </w:rPr>
        <w:t>numerous</w:t>
      </w:r>
      <w:r>
        <w:rPr>
          <w:spacing w:val="-4"/>
          <w:sz w:val="24"/>
        </w:rPr>
        <w:t> </w:t>
      </w:r>
      <w:r>
        <w:rPr>
          <w:sz w:val="24"/>
        </w:rPr>
        <w:t>hydrographic</w:t>
      </w:r>
      <w:r>
        <w:rPr>
          <w:spacing w:val="-5"/>
          <w:sz w:val="24"/>
        </w:rPr>
        <w:t> </w:t>
      </w:r>
      <w:r>
        <w:rPr>
          <w:sz w:val="24"/>
        </w:rPr>
        <w:t>survey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packages.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z w:val="24"/>
        </w:rPr>
        <w:t>Low</w:t>
      </w:r>
      <w:r>
        <w:rPr>
          <w:spacing w:val="-4"/>
          <w:sz w:val="24"/>
        </w:rPr>
        <w:t> </w:t>
      </w:r>
      <w:r>
        <w:rPr>
          <w:sz w:val="24"/>
        </w:rPr>
        <w:t>power</w:t>
      </w:r>
      <w:r>
        <w:rPr>
          <w:spacing w:val="-3"/>
          <w:sz w:val="24"/>
        </w:rPr>
        <w:t> </w:t>
      </w:r>
      <w:r>
        <w:rPr>
          <w:sz w:val="24"/>
        </w:rPr>
        <w:t>consumption</w:t>
      </w:r>
      <w:r>
        <w:rPr>
          <w:spacing w:val="-2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field</w:t>
      </w:r>
      <w:r>
        <w:rPr>
          <w:spacing w:val="-2"/>
          <w:sz w:val="24"/>
        </w:rPr>
        <w:t> deployments.</w:t>
      </w:r>
    </w:p>
    <w:p>
      <w:pPr>
        <w:pStyle w:val="BodyText"/>
        <w:spacing w:before="73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720090</wp:posOffset>
                </wp:positionH>
                <wp:positionV relativeFrom="paragraph">
                  <wp:posOffset>208340</wp:posOffset>
                </wp:positionV>
                <wp:extent cx="6119495" cy="254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119495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 h="2540">
                              <a:moveTo>
                                <a:pt x="6119495" y="2539"/>
                              </a:moveTo>
                              <a:lnTo>
                                <a:pt x="0" y="2539"/>
                              </a:lnTo>
                            </a:path>
                            <a:path w="6119495" h="2540">
                              <a:moveTo>
                                <a:pt x="61194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16.404751pt;width:481.85pt;height:.2pt;mso-position-horizontal-relative:page;mso-position-vertical-relative:paragraph;z-index:-15727616;mso-wrap-distance-left:0;mso-wrap-distance-right:0" id="docshape3" coordorigin="1134,328" coordsize="9637,4" path="m10771,332l1134,332m10771,328l1134,328e" filled="false" stroked="true" strokeweight=".1pt" strokecolor="#7f7f7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91"/>
        <w:ind w:left="0" w:firstLine="0"/>
      </w:pPr>
    </w:p>
    <w:p>
      <w:pPr>
        <w:pStyle w:val="Heading2"/>
      </w:pPr>
      <w:bookmarkStart w:name="Typical Applications" w:id="6"/>
      <w:bookmarkEnd w:id="6"/>
      <w:r>
        <w:rPr>
          <w:b w:val="0"/>
        </w:rPr>
      </w:r>
      <w:r>
        <w:rPr>
          <w:spacing w:val="-6"/>
        </w:rPr>
        <w:t>Typical</w:t>
      </w:r>
      <w:r>
        <w:rPr>
          <w:spacing w:val="-11"/>
        </w:rPr>
        <w:t> </w:t>
      </w:r>
      <w:r>
        <w:rPr>
          <w:spacing w:val="-2"/>
        </w:rPr>
        <w:t>Applications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124" w:after="0"/>
        <w:ind w:left="851" w:right="0" w:hanging="282"/>
        <w:jc w:val="left"/>
        <w:rPr>
          <w:sz w:val="24"/>
        </w:rPr>
      </w:pPr>
      <w:r>
        <w:rPr>
          <w:sz w:val="24"/>
        </w:rPr>
        <w:t>Hydrographic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surveys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z w:val="24"/>
        </w:rPr>
        <w:t>Waterway</w:t>
      </w:r>
      <w:r>
        <w:rPr>
          <w:spacing w:val="-10"/>
          <w:sz w:val="24"/>
        </w:rPr>
        <w:t> </w:t>
      </w:r>
      <w:r>
        <w:rPr>
          <w:sz w:val="24"/>
        </w:rPr>
        <w:t>and</w:t>
      </w:r>
      <w:r>
        <w:rPr>
          <w:spacing w:val="-9"/>
          <w:sz w:val="24"/>
        </w:rPr>
        <w:t> </w:t>
      </w:r>
      <w:r>
        <w:rPr>
          <w:sz w:val="24"/>
        </w:rPr>
        <w:t>channel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monitoring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z w:val="24"/>
        </w:rPr>
        <w:t>Dredging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support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z w:val="24"/>
        </w:rPr>
        <w:t>Reservoir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lake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mapping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z w:val="24"/>
        </w:rPr>
        <w:t>Sedimentation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studies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39" w:after="0"/>
        <w:ind w:left="851" w:right="0" w:hanging="282"/>
        <w:jc w:val="left"/>
        <w:rPr>
          <w:sz w:val="24"/>
        </w:rPr>
      </w:pPr>
      <w:r>
        <w:rPr>
          <w:sz w:val="24"/>
        </w:rPr>
        <w:t>Shallow-water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bathymetry</w:t>
      </w:r>
    </w:p>
    <w:p>
      <w:pPr>
        <w:pStyle w:val="BodyText"/>
        <w:spacing w:before="74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720090</wp:posOffset>
                </wp:positionH>
                <wp:positionV relativeFrom="paragraph">
                  <wp:posOffset>209468</wp:posOffset>
                </wp:positionV>
                <wp:extent cx="6119495" cy="254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119495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 h="2540">
                              <a:moveTo>
                                <a:pt x="6119495" y="2540"/>
                              </a:moveTo>
                              <a:lnTo>
                                <a:pt x="0" y="2540"/>
                              </a:lnTo>
                            </a:path>
                            <a:path w="6119495" h="2540">
                              <a:moveTo>
                                <a:pt x="61194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16.493555pt;width:481.85pt;height:.2pt;mso-position-horizontal-relative:page;mso-position-vertical-relative:paragraph;z-index:-15727104;mso-wrap-distance-left:0;mso-wrap-distance-right:0" id="docshape4" coordorigin="1134,330" coordsize="9637,4" path="m10771,334l1134,334m10771,330l1134,330e" filled="false" stroked="true" strokeweight=".1pt" strokecolor="#7f7f7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90"/>
        <w:ind w:left="0" w:firstLine="0"/>
      </w:pPr>
    </w:p>
    <w:p>
      <w:pPr>
        <w:pStyle w:val="Heading2"/>
      </w:pPr>
      <w:bookmarkStart w:name="Software Compatibility" w:id="7"/>
      <w:bookmarkEnd w:id="7"/>
      <w:r>
        <w:rPr>
          <w:b w:val="0"/>
        </w:rPr>
      </w:r>
      <w:r>
        <w:rPr/>
        <w:t>Software</w:t>
      </w:r>
      <w:r>
        <w:rPr>
          <w:spacing w:val="-10"/>
        </w:rPr>
        <w:t> </w:t>
      </w:r>
      <w:r>
        <w:rPr>
          <w:spacing w:val="-2"/>
        </w:rPr>
        <w:t>Compatibility</w:t>
      </w:r>
    </w:p>
    <w:p>
      <w:pPr>
        <w:pStyle w:val="BodyText"/>
        <w:spacing w:before="125"/>
        <w:ind w:left="143" w:firstLine="0"/>
      </w:pPr>
      <w:r>
        <w:rPr/>
        <w:t>The</w:t>
      </w:r>
      <w:r>
        <w:rPr>
          <w:spacing w:val="-6"/>
        </w:rPr>
        <w:t> </w:t>
      </w:r>
      <w:r>
        <w:rPr/>
        <w:t>Z</w:t>
      </w:r>
      <w:r>
        <w:rPr>
          <w:spacing w:val="-15"/>
        </w:rPr>
        <w:t> </w:t>
      </w:r>
      <w:r>
        <w:rPr/>
        <w:t>Axis-2F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compatible</w:t>
      </w:r>
      <w:r>
        <w:rPr>
          <w:spacing w:val="-4"/>
        </w:rPr>
        <w:t> </w:t>
      </w:r>
      <w:r>
        <w:rPr/>
        <w:t>with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variety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survey</w:t>
      </w:r>
      <w:r>
        <w:rPr>
          <w:spacing w:val="-3"/>
        </w:rPr>
        <w:t> </w:t>
      </w:r>
      <w:r>
        <w:rPr/>
        <w:t>software</w:t>
      </w:r>
      <w:r>
        <w:rPr>
          <w:spacing w:val="-3"/>
        </w:rPr>
        <w:t> </w:t>
      </w:r>
      <w:r>
        <w:rPr/>
        <w:t>packages,</w:t>
      </w:r>
      <w:r>
        <w:rPr>
          <w:spacing w:val="-2"/>
        </w:rPr>
        <w:t> including: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180" w:after="0"/>
        <w:ind w:left="851" w:right="0" w:hanging="282"/>
        <w:jc w:val="left"/>
        <w:rPr>
          <w:sz w:val="24"/>
        </w:rPr>
      </w:pPr>
      <w:r>
        <w:rPr>
          <w:spacing w:val="-2"/>
          <w:sz w:val="24"/>
        </w:rPr>
        <w:t>HydroMagic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pacing w:val="-2"/>
          <w:sz w:val="24"/>
        </w:rPr>
        <w:t>HYPACK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z w:val="24"/>
        </w:rPr>
        <w:t>Trimble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systems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z w:val="24"/>
        </w:rPr>
        <w:t>Carlson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software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z w:val="24"/>
        </w:rPr>
        <w:t>Leica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systems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pacing w:val="-2"/>
          <w:sz w:val="24"/>
        </w:rPr>
        <w:t>Topcon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systems</w:t>
      </w:r>
    </w:p>
    <w:p>
      <w:pPr>
        <w:pStyle w:val="BodyText"/>
        <w:spacing w:before="73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720090</wp:posOffset>
                </wp:positionH>
                <wp:positionV relativeFrom="paragraph">
                  <wp:posOffset>208848</wp:posOffset>
                </wp:positionV>
                <wp:extent cx="6119495" cy="254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119495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 h="2540">
                              <a:moveTo>
                                <a:pt x="6119495" y="2540"/>
                              </a:moveTo>
                              <a:lnTo>
                                <a:pt x="0" y="2540"/>
                              </a:lnTo>
                            </a:path>
                            <a:path w="6119495" h="2540">
                              <a:moveTo>
                                <a:pt x="61194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16.444727pt;width:481.85pt;height:.2pt;mso-position-horizontal-relative:page;mso-position-vertical-relative:paragraph;z-index:-15726592;mso-wrap-distance-left:0;mso-wrap-distance-right:0" id="docshape5" coordorigin="1134,329" coordsize="9637,4" path="m10771,333l1134,333m10771,329l1134,329e" filled="false" stroked="true" strokeweight=".1pt" strokecolor="#7f7f7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90"/>
        <w:ind w:left="0" w:firstLine="0"/>
      </w:pPr>
    </w:p>
    <w:p>
      <w:pPr>
        <w:pStyle w:val="Heading2"/>
      </w:pPr>
      <w:bookmarkStart w:name="Available Accessories" w:id="8"/>
      <w:bookmarkEnd w:id="8"/>
      <w:r>
        <w:rPr>
          <w:b w:val="0"/>
        </w:rPr>
      </w:r>
      <w:r>
        <w:rPr>
          <w:spacing w:val="-5"/>
        </w:rPr>
        <w:t>Available</w:t>
      </w:r>
      <w:r>
        <w:rPr>
          <w:spacing w:val="-11"/>
        </w:rPr>
        <w:t> </w:t>
      </w:r>
      <w:r>
        <w:rPr>
          <w:spacing w:val="-2"/>
        </w:rPr>
        <w:t>Accessories</w:t>
      </w:r>
    </w:p>
    <w:p>
      <w:pPr>
        <w:pStyle w:val="BodyText"/>
        <w:spacing w:before="125"/>
        <w:ind w:left="143" w:firstLine="0"/>
      </w:pPr>
      <w:r>
        <w:rPr/>
        <w:t>Optional</w:t>
      </w:r>
      <w:r>
        <w:rPr>
          <w:spacing w:val="-7"/>
        </w:rPr>
        <w:t> </w:t>
      </w:r>
      <w:r>
        <w:rPr/>
        <w:t>accessories</w:t>
      </w:r>
      <w:r>
        <w:rPr>
          <w:spacing w:val="-5"/>
        </w:rPr>
        <w:t> </w:t>
      </w:r>
      <w:r>
        <w:rPr>
          <w:spacing w:val="-2"/>
        </w:rPr>
        <w:t>include: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180" w:after="0"/>
        <w:ind w:left="851" w:right="0" w:hanging="282"/>
        <w:jc w:val="left"/>
        <w:rPr>
          <w:sz w:val="24"/>
        </w:rPr>
      </w:pPr>
      <w:r>
        <w:rPr>
          <w:sz w:val="24"/>
        </w:rPr>
        <w:t>Survey</w:t>
      </w:r>
      <w:r>
        <w:rPr>
          <w:spacing w:val="-6"/>
          <w:sz w:val="24"/>
        </w:rPr>
        <w:t> </w:t>
      </w:r>
      <w:r>
        <w:rPr>
          <w:sz w:val="24"/>
        </w:rPr>
        <w:t>pole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adapter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z w:val="24"/>
        </w:rPr>
        <w:t>Pole</w:t>
      </w:r>
      <w:r>
        <w:rPr>
          <w:spacing w:val="-4"/>
          <w:sz w:val="24"/>
        </w:rPr>
        <w:t> </w:t>
      </w:r>
      <w:r>
        <w:rPr>
          <w:sz w:val="24"/>
        </w:rPr>
        <w:t>extension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sections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z w:val="24"/>
        </w:rPr>
        <w:t>Tilting</w:t>
      </w:r>
      <w:r>
        <w:rPr>
          <w:spacing w:val="-8"/>
          <w:sz w:val="24"/>
        </w:rPr>
        <w:t> </w:t>
      </w:r>
      <w:r>
        <w:rPr>
          <w:sz w:val="24"/>
        </w:rPr>
        <w:t>mounting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bracket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z w:val="24"/>
        </w:rPr>
        <w:t>Extension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cables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z w:val="24"/>
        </w:rPr>
        <w:t>Portable</w:t>
      </w:r>
      <w:r>
        <w:rPr>
          <w:spacing w:val="-5"/>
          <w:sz w:val="24"/>
        </w:rPr>
        <w:t> </w:t>
      </w:r>
      <w:r>
        <w:rPr>
          <w:sz w:val="24"/>
        </w:rPr>
        <w:t>battery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pack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40" w:after="0"/>
        <w:ind w:left="851" w:right="0" w:hanging="282"/>
        <w:jc w:val="left"/>
        <w:rPr>
          <w:sz w:val="24"/>
        </w:rPr>
      </w:pPr>
      <w:r>
        <w:rPr>
          <w:sz w:val="24"/>
        </w:rPr>
        <w:t>Protective</w:t>
      </w:r>
      <w:r>
        <w:rPr>
          <w:spacing w:val="-7"/>
          <w:sz w:val="24"/>
        </w:rPr>
        <w:t> </w:t>
      </w:r>
      <w:r>
        <w:rPr>
          <w:sz w:val="24"/>
        </w:rPr>
        <w:t>carrying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case</w:t>
      </w:r>
    </w:p>
    <w:p>
      <w:pPr>
        <w:pStyle w:val="BodyText"/>
        <w:spacing w:before="73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720090</wp:posOffset>
                </wp:positionH>
                <wp:positionV relativeFrom="paragraph">
                  <wp:posOffset>208848</wp:posOffset>
                </wp:positionV>
                <wp:extent cx="6119495" cy="254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119495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 h="2540">
                              <a:moveTo>
                                <a:pt x="6119495" y="2539"/>
                              </a:moveTo>
                              <a:lnTo>
                                <a:pt x="0" y="2539"/>
                              </a:lnTo>
                            </a:path>
                            <a:path w="6119495" h="2540">
                              <a:moveTo>
                                <a:pt x="61194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16.444727pt;width:481.85pt;height:.2pt;mso-position-horizontal-relative:page;mso-position-vertical-relative:paragraph;z-index:-15726080;mso-wrap-distance-left:0;mso-wrap-distance-right:0" id="docshape6" coordorigin="1134,329" coordsize="9637,4" path="m10771,333l1134,333m10771,329l1134,329e" filled="false" stroked="true" strokeweight=".1pt" strokecolor="#7f7f7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4"/>
        <w:ind w:left="0" w:firstLine="0"/>
      </w:pPr>
    </w:p>
    <w:p>
      <w:pPr>
        <w:pStyle w:val="Heading3"/>
      </w:pPr>
      <w:bookmarkStart w:name="Manufacturer" w:id="9"/>
      <w:bookmarkEnd w:id="9"/>
      <w:r>
        <w:rPr>
          <w:b w:val="0"/>
        </w:rPr>
      </w:r>
      <w:r>
        <w:rPr>
          <w:spacing w:val="-2"/>
        </w:rPr>
        <w:t>Manufacturer</w:t>
      </w:r>
    </w:p>
    <w:p>
      <w:pPr>
        <w:pStyle w:val="BodyText"/>
        <w:spacing w:before="122"/>
        <w:ind w:left="143" w:firstLine="0"/>
      </w:pPr>
      <w:r>
        <w:rPr/>
        <w:t>Unabara</w:t>
      </w:r>
      <w:r>
        <w:rPr>
          <w:spacing w:val="-6"/>
        </w:rPr>
        <w:t> </w:t>
      </w:r>
      <w:r>
        <w:rPr>
          <w:spacing w:val="-2"/>
        </w:rPr>
        <w:t>Hydrographics</w:t>
      </w:r>
    </w:p>
    <w:p>
      <w:pPr>
        <w:pStyle w:val="BodyText"/>
        <w:spacing w:line="276" w:lineRule="auto" w:before="181"/>
        <w:ind w:left="143" w:right="183" w:firstLine="0"/>
      </w:pPr>
      <w:r>
        <w:rPr/>
        <w:t>For</w:t>
      </w:r>
      <w:r>
        <w:rPr>
          <w:spacing w:val="-5"/>
        </w:rPr>
        <w:t> </w:t>
      </w:r>
      <w:r>
        <w:rPr/>
        <w:t>additional</w:t>
      </w:r>
      <w:r>
        <w:rPr>
          <w:spacing w:val="-5"/>
        </w:rPr>
        <w:t> </w:t>
      </w:r>
      <w:r>
        <w:rPr/>
        <w:t>information,</w:t>
      </w:r>
      <w:r>
        <w:rPr>
          <w:spacing w:val="-5"/>
        </w:rPr>
        <w:t> </w:t>
      </w:r>
      <w:r>
        <w:rPr/>
        <w:t>detailed</w:t>
      </w:r>
      <w:r>
        <w:rPr>
          <w:spacing w:val="-5"/>
        </w:rPr>
        <w:t> </w:t>
      </w:r>
      <w:r>
        <w:rPr/>
        <w:t>operating</w:t>
      </w:r>
      <w:r>
        <w:rPr>
          <w:spacing w:val="-5"/>
        </w:rPr>
        <w:t> </w:t>
      </w:r>
      <w:r>
        <w:rPr/>
        <w:t>procedures,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configuration</w:t>
      </w:r>
      <w:r>
        <w:rPr>
          <w:spacing w:val="-5"/>
        </w:rPr>
        <w:t> </w:t>
      </w:r>
      <w:r>
        <w:rPr/>
        <w:t>guidance,</w:t>
      </w:r>
      <w:r>
        <w:rPr>
          <w:spacing w:val="-5"/>
        </w:rPr>
        <w:t> </w:t>
      </w:r>
      <w:r>
        <w:rPr/>
        <w:t>please</w:t>
      </w:r>
      <w:r>
        <w:rPr>
          <w:spacing w:val="-5"/>
        </w:rPr>
        <w:t> </w:t>
      </w:r>
      <w:r>
        <w:rPr/>
        <w:t>refer to the complete instrument documentation available from Unabara Hydrographics.</w:t>
      </w:r>
    </w:p>
    <w:sectPr>
      <w:pgSz w:w="11910" w:h="16840"/>
      <w:pgMar w:top="104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53" w:hanging="28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1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66" w:hanging="28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72" w:hanging="28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78" w:hanging="28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84" w:hanging="28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1" w:hanging="28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97" w:hanging="28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03" w:hanging="28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09" w:hanging="28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0"/>
      <w:ind w:left="851" w:hanging="282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6"/>
      <w:ind w:left="143"/>
      <w:outlineLvl w:val="1"/>
    </w:pPr>
    <w:rPr>
      <w:rFonts w:ascii="Times New Roman" w:hAnsi="Times New Roman" w:eastAsia="Times New Roman" w:cs="Times New Roman"/>
      <w:b/>
      <w:bCs/>
      <w:sz w:val="48"/>
      <w:szCs w:val="4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43"/>
      <w:outlineLvl w:val="2"/>
    </w:pPr>
    <w:rPr>
      <w:rFonts w:ascii="Times New Roman" w:hAnsi="Times New Roman" w:eastAsia="Times New Roman" w:cs="Times New Roman"/>
      <w:b/>
      <w:bCs/>
      <w:sz w:val="36"/>
      <w:szCs w:val="36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43"/>
      <w:outlineLvl w:val="3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0"/>
      <w:ind w:left="851" w:hanging="282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6"/>
      <w:ind w:left="180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2026-06-16T17:29:44Z</dcterms:created>
  <dcterms:modified xsi:type="dcterms:W3CDTF">2026-06-16T17:29:44Z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2026-06-15T00:00:00Z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26.2.4.2 (AARCH64)</vt:lpwstr>
  </property>
  <property fmtid="{D5CDD505-2E9C-101B-9397-08002B2CF9AE}" pid="5" name="LastSaved">
    <vt:filetime>2026-06-15T00:00:00Z</vt:filetime>
  </property>
</Properties>
</file>